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2536"/>
        <w:tblW w:w="19738" w:type="dxa"/>
        <w:tblLook w:val="04A0" w:firstRow="1" w:lastRow="0" w:firstColumn="1" w:lastColumn="0" w:noHBand="0" w:noVBand="1"/>
      </w:tblPr>
      <w:tblGrid>
        <w:gridCol w:w="1042"/>
        <w:gridCol w:w="471"/>
        <w:gridCol w:w="608"/>
        <w:gridCol w:w="602"/>
        <w:gridCol w:w="392"/>
        <w:gridCol w:w="582"/>
        <w:gridCol w:w="716"/>
        <w:gridCol w:w="488"/>
        <w:gridCol w:w="469"/>
        <w:gridCol w:w="380"/>
        <w:gridCol w:w="922"/>
        <w:gridCol w:w="282"/>
        <w:gridCol w:w="836"/>
        <w:gridCol w:w="182"/>
        <w:gridCol w:w="646"/>
        <w:gridCol w:w="163"/>
        <w:gridCol w:w="886"/>
        <w:gridCol w:w="124"/>
        <w:gridCol w:w="686"/>
        <w:gridCol w:w="105"/>
        <w:gridCol w:w="844"/>
        <w:gridCol w:w="10"/>
        <w:gridCol w:w="1083"/>
        <w:gridCol w:w="790"/>
        <w:gridCol w:w="909"/>
        <w:gridCol w:w="5520"/>
      </w:tblGrid>
      <w:tr w:rsidR="001F071C" w:rsidRPr="00F96554" w:rsidTr="00D16020">
        <w:trPr>
          <w:trHeight w:val="567"/>
        </w:trPr>
        <w:tc>
          <w:tcPr>
            <w:tcW w:w="1042"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noProof/>
                <w:color w:val="FFFFFF"/>
                <w:sz w:val="16"/>
                <w:szCs w:val="16"/>
                <w:lang w:eastAsia="en-IE"/>
              </w:rPr>
              <mc:AlternateContent>
                <mc:Choice Requires="wps">
                  <w:drawing>
                    <wp:anchor distT="0" distB="0" distL="114300" distR="114300" simplePos="0" relativeHeight="251659264" behindDoc="0" locked="0" layoutInCell="1" allowOverlap="1" wp14:anchorId="7655CC53" wp14:editId="548C84DC">
                      <wp:simplePos x="0" y="0"/>
                      <wp:positionH relativeFrom="column">
                        <wp:posOffset>93345</wp:posOffset>
                      </wp:positionH>
                      <wp:positionV relativeFrom="paragraph">
                        <wp:posOffset>-1109345</wp:posOffset>
                      </wp:positionV>
                      <wp:extent cx="12134850" cy="5429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34850" cy="542925"/>
                              </a:xfrm>
                              <a:prstGeom prst="rect">
                                <a:avLst/>
                              </a:prstGeom>
                              <a:solidFill>
                                <a:srgbClr val="FFFFFF"/>
                              </a:solidFill>
                              <a:ln w="9525">
                                <a:noFill/>
                                <a:miter lim="800000"/>
                                <a:headEnd/>
                                <a:tailEnd/>
                              </a:ln>
                            </wps:spPr>
                            <wps:txbx>
                              <w:txbxContent>
                                <w:p w:rsidR="001F071C" w:rsidRPr="00F96554" w:rsidRDefault="001F071C" w:rsidP="001F071C">
                                  <w:pPr>
                                    <w:spacing w:before="0" w:after="200"/>
                                    <w:rPr>
                                      <w:sz w:val="24"/>
                                    </w:rPr>
                                  </w:pPr>
                                  <w:r>
                                    <w:rPr>
                                      <w:b/>
                                      <w:sz w:val="24"/>
                                    </w:rPr>
                                    <w:t>Table A.6</w:t>
                                  </w:r>
                                  <w:r w:rsidRPr="00A86C36">
                                    <w:rPr>
                                      <w:sz w:val="24"/>
                                    </w:rPr>
                                    <w:t>: Summary of Engagement Strategies by Local Authority for the period 1</w:t>
                                  </w:r>
                                  <w:r w:rsidRPr="00A86C36">
                                    <w:rPr>
                                      <w:sz w:val="24"/>
                                      <w:vertAlign w:val="superscript"/>
                                    </w:rPr>
                                    <w:t>st</w:t>
                                  </w:r>
                                  <w:r w:rsidRPr="00A86C36">
                                    <w:rPr>
                                      <w:sz w:val="24"/>
                                    </w:rPr>
                                    <w:t xml:space="preserve"> January to 31</w:t>
                                  </w:r>
                                  <w:r w:rsidRPr="00A86C36">
                                    <w:rPr>
                                      <w:sz w:val="24"/>
                                      <w:vertAlign w:val="superscript"/>
                                    </w:rPr>
                                    <w:t>st</w:t>
                                  </w:r>
                                  <w:r w:rsidRPr="00A86C36">
                                    <w:rPr>
                                      <w:sz w:val="24"/>
                                    </w:rPr>
                                    <w:t xml:space="preserve"> December 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55CC53" id="_x0000_t202" coordsize="21600,21600" o:spt="202" path="m,l,21600r21600,l21600,xe">
                      <v:stroke joinstyle="miter"/>
                      <v:path gradientshapeok="t" o:connecttype="rect"/>
                    </v:shapetype>
                    <v:shape id="Text Box 2" o:spid="_x0000_s1026" type="#_x0000_t202" style="position:absolute;margin-left:7.35pt;margin-top:-87.35pt;width:95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" stroked="f">
                      <v:textbox>
                        <w:txbxContent>
                          <w:p w:rsidR="001F071C" w:rsidRPr="00F96554" w:rsidRDefault="001F071C" w:rsidP="001F071C">
                            <w:pPr>
                              <w:spacing w:before="0" w:after="200"/>
                              <w:rPr>
                                <w:sz w:val="24"/>
                              </w:rPr>
                            </w:pPr>
                            <w:r>
                              <w:rPr>
                                <w:b/>
                                <w:sz w:val="24"/>
                              </w:rPr>
                              <w:t>Table A.6</w:t>
                            </w:r>
                            <w:r w:rsidRPr="00A86C36">
                              <w:rPr>
                                <w:sz w:val="24"/>
                              </w:rPr>
                              <w:t>: Summary of Engagement Strategies by Local Authority for the period 1</w:t>
                            </w:r>
                            <w:r w:rsidRPr="00A86C36">
                              <w:rPr>
                                <w:sz w:val="24"/>
                                <w:vertAlign w:val="superscript"/>
                              </w:rPr>
                              <w:t>st</w:t>
                            </w:r>
                            <w:r w:rsidRPr="00A86C36">
                              <w:rPr>
                                <w:sz w:val="24"/>
                              </w:rPr>
                              <w:t xml:space="preserve"> January to 31</w:t>
                            </w:r>
                            <w:r w:rsidRPr="00A86C36">
                              <w:rPr>
                                <w:sz w:val="24"/>
                                <w:vertAlign w:val="superscript"/>
                              </w:rPr>
                              <w:t>st</w:t>
                            </w:r>
                            <w:r w:rsidRPr="00A86C36">
                              <w:rPr>
                                <w:sz w:val="24"/>
                              </w:rPr>
                              <w:t xml:space="preserve"> December 2016</w:t>
                            </w:r>
                          </w:p>
                        </w:txbxContent>
                      </v:textbox>
                    </v:shape>
                  </w:pict>
                </mc:Fallback>
              </mc:AlternateContent>
            </w:r>
            <w:r w:rsidRPr="00F96554">
              <w:rPr>
                <w:rFonts w:ascii="Calibri" w:eastAsia="Times New Roman" w:hAnsi="Calibri" w:cs="Times New Roman"/>
                <w:bCs/>
                <w:color w:val="FFFFFF"/>
                <w:sz w:val="16"/>
                <w:szCs w:val="16"/>
                <w:lang w:eastAsia="en-IE"/>
              </w:rPr>
              <w:t>Local Authority</w:t>
            </w:r>
          </w:p>
        </w:tc>
        <w:tc>
          <w:tcPr>
            <w:tcW w:w="1079"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proofErr w:type="spellStart"/>
            <w:r w:rsidRPr="00F96554">
              <w:rPr>
                <w:rFonts w:ascii="Calibri" w:eastAsia="Times New Roman" w:hAnsi="Calibri" w:cs="Times New Roman"/>
                <w:bCs/>
                <w:color w:val="FFFFFF"/>
                <w:sz w:val="16"/>
                <w:szCs w:val="16"/>
                <w:lang w:eastAsia="en-IE"/>
              </w:rPr>
              <w:t>Respondants</w:t>
            </w:r>
            <w:proofErr w:type="spellEnd"/>
            <w:r w:rsidRPr="00F96554">
              <w:rPr>
                <w:rFonts w:ascii="Calibri" w:eastAsia="Times New Roman" w:hAnsi="Calibri" w:cs="Times New Roman"/>
                <w:bCs/>
                <w:color w:val="FFFFFF"/>
                <w:sz w:val="16"/>
                <w:szCs w:val="16"/>
                <w:lang w:eastAsia="en-IE"/>
              </w:rPr>
              <w:t xml:space="preserve"> </w:t>
            </w:r>
          </w:p>
        </w:tc>
        <w:tc>
          <w:tcPr>
            <w:tcW w:w="994"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Article in Newspaper /other publication</w:t>
            </w:r>
          </w:p>
        </w:tc>
        <w:tc>
          <w:tcPr>
            <w:tcW w:w="1298"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Newspaper Advertisement</w:t>
            </w:r>
          </w:p>
        </w:tc>
        <w:tc>
          <w:tcPr>
            <w:tcW w:w="957"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Radio interview</w:t>
            </w:r>
          </w:p>
        </w:tc>
        <w:tc>
          <w:tcPr>
            <w:tcW w:w="1302"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Radio Advertisement</w:t>
            </w:r>
          </w:p>
        </w:tc>
        <w:tc>
          <w:tcPr>
            <w:tcW w:w="1118"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Stakeholder Meeting</w:t>
            </w:r>
          </w:p>
        </w:tc>
        <w:tc>
          <w:tcPr>
            <w:tcW w:w="828"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School Visit</w:t>
            </w:r>
          </w:p>
        </w:tc>
        <w:tc>
          <w:tcPr>
            <w:tcW w:w="1049"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Leaflet Distribution</w:t>
            </w:r>
          </w:p>
        </w:tc>
        <w:tc>
          <w:tcPr>
            <w:tcW w:w="810"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Social media</w:t>
            </w:r>
          </w:p>
        </w:tc>
        <w:tc>
          <w:tcPr>
            <w:tcW w:w="949"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Local Authority website</w:t>
            </w:r>
          </w:p>
        </w:tc>
        <w:tc>
          <w:tcPr>
            <w:tcW w:w="1093"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Email/letters to registered owners</w:t>
            </w:r>
          </w:p>
        </w:tc>
        <w:tc>
          <w:tcPr>
            <w:tcW w:w="790"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Info Packs</w:t>
            </w:r>
          </w:p>
        </w:tc>
        <w:tc>
          <w:tcPr>
            <w:tcW w:w="909"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Pre-Inspection Visit</w:t>
            </w:r>
          </w:p>
        </w:tc>
        <w:tc>
          <w:tcPr>
            <w:tcW w:w="5520"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Best Practice examples</w:t>
            </w:r>
          </w:p>
        </w:tc>
      </w:tr>
      <w:tr w:rsidR="001F071C" w:rsidRPr="00F96554" w:rsidTr="00D16020">
        <w:trPr>
          <w:trHeight w:val="18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Carlow</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702"/>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Cavan</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1. Virginia Show - Council Stand August 2016.  (15000+ people in </w:t>
            </w:r>
            <w:proofErr w:type="gramStart"/>
            <w:r w:rsidRPr="00F96554">
              <w:rPr>
                <w:rFonts w:ascii="Calibri" w:eastAsia="Times New Roman" w:hAnsi="Calibri" w:cs="Times New Roman"/>
                <w:bCs/>
                <w:color w:val="365F91"/>
                <w:sz w:val="16"/>
                <w:szCs w:val="16"/>
                <w:lang w:eastAsia="en-IE"/>
              </w:rPr>
              <w:t xml:space="preserve">attendance)   </w:t>
            </w:r>
            <w:proofErr w:type="gramEnd"/>
            <w:r w:rsidRPr="00F96554">
              <w:rPr>
                <w:rFonts w:ascii="Calibri" w:eastAsia="Times New Roman" w:hAnsi="Calibri" w:cs="Times New Roman"/>
                <w:bCs/>
                <w:color w:val="365F91"/>
                <w:sz w:val="16"/>
                <w:szCs w:val="16"/>
                <w:lang w:eastAsia="en-IE"/>
              </w:rPr>
              <w:t xml:space="preserve">                                          2. Leaflets on public display in all Council area offices &amp; public </w:t>
            </w:r>
            <w:proofErr w:type="gramStart"/>
            <w:r w:rsidRPr="00F96554">
              <w:rPr>
                <w:rFonts w:ascii="Calibri" w:eastAsia="Times New Roman" w:hAnsi="Calibri" w:cs="Times New Roman"/>
                <w:bCs/>
                <w:color w:val="365F91"/>
                <w:sz w:val="16"/>
                <w:szCs w:val="16"/>
                <w:lang w:eastAsia="en-IE"/>
              </w:rPr>
              <w:t>buildings  such</w:t>
            </w:r>
            <w:proofErr w:type="gramEnd"/>
            <w:r w:rsidRPr="00F96554">
              <w:rPr>
                <w:rFonts w:ascii="Calibri" w:eastAsia="Times New Roman" w:hAnsi="Calibri" w:cs="Times New Roman"/>
                <w:bCs/>
                <w:color w:val="365F91"/>
                <w:sz w:val="16"/>
                <w:szCs w:val="16"/>
                <w:lang w:eastAsia="en-IE"/>
              </w:rPr>
              <w:t xml:space="preserve"> as libraries &amp; the County Museum.                      </w:t>
            </w:r>
            <w:r w:rsidRPr="00F96554">
              <w:rPr>
                <w:rFonts w:ascii="Calibri" w:eastAsia="Times New Roman" w:hAnsi="Calibri" w:cs="Times New Roman"/>
                <w:bCs/>
                <w:color w:val="365F91"/>
                <w:sz w:val="16"/>
                <w:szCs w:val="16"/>
                <w:lang w:eastAsia="en-IE"/>
              </w:rPr>
              <w:br/>
              <w:t>3. Council website maintained includes details of NIP &amp; registration process.     Leaflets maintained at GPs &amp; Health Centres. Paragraph added to Inspection Notification letters advising clients to desludge prior to the inspection taking place</w:t>
            </w:r>
            <w:r w:rsidRPr="00F96554">
              <w:rPr>
                <w:rFonts w:ascii="Calibri" w:eastAsia="Times New Roman" w:hAnsi="Calibri" w:cs="Times New Roman"/>
                <w:bCs/>
                <w:color w:val="365F91"/>
                <w:sz w:val="16"/>
                <w:szCs w:val="16"/>
                <w:lang w:eastAsia="en-IE"/>
              </w:rPr>
              <w:br/>
              <w:t xml:space="preserve">4. Leaflets maintained at GPs &amp; Health Centres. </w:t>
            </w:r>
            <w:r w:rsidRPr="00F96554">
              <w:rPr>
                <w:rFonts w:ascii="Calibri" w:eastAsia="Times New Roman" w:hAnsi="Calibri" w:cs="Times New Roman"/>
                <w:bCs/>
                <w:color w:val="365F91"/>
                <w:sz w:val="16"/>
                <w:szCs w:val="16"/>
                <w:lang w:eastAsia="en-IE"/>
              </w:rPr>
              <w:br/>
              <w:t xml:space="preserve">5. Paragraph added to Inspection Notification letters advising clients to desludge prior to the inspection taking place. </w:t>
            </w:r>
            <w:r w:rsidRPr="00F96554">
              <w:rPr>
                <w:rFonts w:ascii="Calibri" w:eastAsia="Times New Roman" w:hAnsi="Calibri" w:cs="Times New Roman"/>
                <w:bCs/>
                <w:color w:val="365F91"/>
                <w:sz w:val="16"/>
                <w:szCs w:val="16"/>
                <w:lang w:eastAsia="en-IE"/>
              </w:rPr>
              <w:br/>
              <w:t xml:space="preserve">6. Cavan County Council representative on the National Citizen Engagement Strategy Working Group.   </w:t>
            </w:r>
          </w:p>
        </w:tc>
      </w:tr>
      <w:tr w:rsidR="001F071C" w:rsidRPr="00F96554" w:rsidTr="00D16020">
        <w:trPr>
          <w:trHeight w:val="283"/>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Clare</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1. </w:t>
            </w:r>
            <w:proofErr w:type="gramStart"/>
            <w:r w:rsidRPr="00F96554">
              <w:rPr>
                <w:rFonts w:ascii="Calibri" w:eastAsia="Times New Roman" w:hAnsi="Calibri" w:cs="Times New Roman"/>
                <w:bCs/>
                <w:color w:val="365F91"/>
                <w:sz w:val="16"/>
                <w:szCs w:val="16"/>
                <w:lang w:eastAsia="en-IE"/>
              </w:rPr>
              <w:t>Pre inspection</w:t>
            </w:r>
            <w:proofErr w:type="gramEnd"/>
            <w:r w:rsidRPr="00F96554">
              <w:rPr>
                <w:rFonts w:ascii="Calibri" w:eastAsia="Times New Roman" w:hAnsi="Calibri" w:cs="Times New Roman"/>
                <w:bCs/>
                <w:color w:val="365F91"/>
                <w:sz w:val="16"/>
                <w:szCs w:val="16"/>
                <w:lang w:eastAsia="en-IE"/>
              </w:rPr>
              <w:t xml:space="preserve"> visit works extremely well. It allows people to </w:t>
            </w:r>
            <w:proofErr w:type="spellStart"/>
            <w:r w:rsidRPr="00F96554">
              <w:rPr>
                <w:rFonts w:ascii="Calibri" w:eastAsia="Times New Roman" w:hAnsi="Calibri" w:cs="Times New Roman"/>
                <w:bCs/>
                <w:color w:val="365F91"/>
                <w:sz w:val="16"/>
                <w:szCs w:val="16"/>
                <w:lang w:eastAsia="en-IE"/>
              </w:rPr>
              <w:t>recify</w:t>
            </w:r>
            <w:proofErr w:type="spellEnd"/>
            <w:r w:rsidRPr="00F96554">
              <w:rPr>
                <w:rFonts w:ascii="Calibri" w:eastAsia="Times New Roman" w:hAnsi="Calibri" w:cs="Times New Roman"/>
                <w:bCs/>
                <w:color w:val="365F91"/>
                <w:sz w:val="16"/>
                <w:szCs w:val="16"/>
                <w:lang w:eastAsia="en-IE"/>
              </w:rPr>
              <w:t xml:space="preserve"> small problems before inspection</w:t>
            </w:r>
          </w:p>
        </w:tc>
      </w:tr>
      <w:tr w:rsidR="001F071C" w:rsidRPr="00F96554" w:rsidTr="00D16020">
        <w:trPr>
          <w:trHeight w:val="2127"/>
        </w:trPr>
        <w:tc>
          <w:tcPr>
            <w:tcW w:w="1042" w:type="dxa"/>
            <w:tcBorders>
              <w:top w:val="nil"/>
              <w:left w:val="nil"/>
              <w:bottom w:val="nil"/>
              <w:right w:val="nil"/>
            </w:tcBorders>
            <w:shd w:val="clear" w:color="auto" w:fill="auto"/>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Cork</w:t>
            </w:r>
          </w:p>
        </w:tc>
        <w:tc>
          <w:tcPr>
            <w:tcW w:w="1079" w:type="dxa"/>
            <w:gridSpan w:val="2"/>
            <w:tcBorders>
              <w:top w:val="nil"/>
              <w:left w:val="nil"/>
              <w:bottom w:val="nil"/>
              <w:right w:val="nil"/>
            </w:tcBorders>
            <w:shd w:val="clear" w:color="auto" w:fill="auto"/>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auto" w:fill="auto"/>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298" w:type="dxa"/>
            <w:gridSpan w:val="2"/>
            <w:tcBorders>
              <w:top w:val="nil"/>
              <w:left w:val="nil"/>
              <w:bottom w:val="nil"/>
              <w:right w:val="nil"/>
            </w:tcBorders>
            <w:shd w:val="clear" w:color="auto" w:fill="auto"/>
            <w:noWrap/>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28" w:type="dxa"/>
            <w:gridSpan w:val="2"/>
            <w:tcBorders>
              <w:top w:val="nil"/>
              <w:left w:val="nil"/>
              <w:bottom w:val="nil"/>
              <w:right w:val="nil"/>
            </w:tcBorders>
            <w:shd w:val="clear" w:color="auto" w:fill="auto"/>
            <w:noWrap/>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49" w:type="dxa"/>
            <w:gridSpan w:val="2"/>
            <w:tcBorders>
              <w:top w:val="nil"/>
              <w:left w:val="nil"/>
              <w:bottom w:val="nil"/>
              <w:right w:val="nil"/>
            </w:tcBorders>
            <w:shd w:val="clear" w:color="auto" w:fill="auto"/>
            <w:noWrap/>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auto" w:fill="auto"/>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49" w:type="dxa"/>
            <w:gridSpan w:val="2"/>
            <w:tcBorders>
              <w:top w:val="nil"/>
              <w:left w:val="nil"/>
              <w:bottom w:val="nil"/>
              <w:right w:val="nil"/>
            </w:tcBorders>
            <w:shd w:val="clear" w:color="auto" w:fill="auto"/>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auto" w:fill="auto"/>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790" w:type="dxa"/>
            <w:tcBorders>
              <w:top w:val="nil"/>
              <w:left w:val="nil"/>
              <w:bottom w:val="nil"/>
              <w:right w:val="nil"/>
            </w:tcBorders>
            <w:shd w:val="clear" w:color="auto" w:fill="auto"/>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09" w:type="dxa"/>
            <w:tcBorders>
              <w:top w:val="nil"/>
              <w:left w:val="nil"/>
              <w:bottom w:val="nil"/>
              <w:right w:val="nil"/>
            </w:tcBorders>
            <w:shd w:val="clear" w:color="auto" w:fill="auto"/>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5520" w:type="dxa"/>
            <w:tcBorders>
              <w:top w:val="nil"/>
              <w:left w:val="nil"/>
              <w:bottom w:val="nil"/>
              <w:right w:val="nil"/>
            </w:tcBorders>
            <w:shd w:val="clear" w:color="auto" w:fill="auto"/>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1. A pop-up poster, with information on Septic tank management on one side, &amp; safe use of pesticides on the other side, was displayed in 12 Council libraries at various times during 2016 to remind the public about the risks posed by septic tanks &amp; pesticides. Information leaflets were provided close to the pop up poster at each location.</w:t>
            </w:r>
            <w:r w:rsidRPr="00F96554">
              <w:rPr>
                <w:rFonts w:ascii="Calibri" w:eastAsia="Times New Roman" w:hAnsi="Calibri" w:cs="Times New Roman"/>
                <w:bCs/>
                <w:color w:val="365F91"/>
                <w:sz w:val="16"/>
                <w:szCs w:val="16"/>
                <w:lang w:eastAsia="en-IE"/>
              </w:rPr>
              <w:br/>
              <w:t xml:space="preserve">2. A DWWTS information leaflet was prepared &amp; distributed by environment personnel to homeowners in the catchments of 3 selected Identified Bathing Waters in Co. Cork in 2016. Please find attached a summary of the work carried out in this regard &amp; a copy of the leaflet prepared for </w:t>
            </w:r>
            <w:proofErr w:type="spellStart"/>
            <w:r w:rsidRPr="00F96554">
              <w:rPr>
                <w:rFonts w:ascii="Calibri" w:eastAsia="Times New Roman" w:hAnsi="Calibri" w:cs="Times New Roman"/>
                <w:bCs/>
                <w:color w:val="365F91"/>
                <w:sz w:val="16"/>
                <w:szCs w:val="16"/>
                <w:lang w:eastAsia="en-IE"/>
              </w:rPr>
              <w:t>Fountainstown</w:t>
            </w:r>
            <w:proofErr w:type="spellEnd"/>
            <w:r w:rsidRPr="00F96554">
              <w:rPr>
                <w:rFonts w:ascii="Calibri" w:eastAsia="Times New Roman" w:hAnsi="Calibri" w:cs="Times New Roman"/>
                <w:bCs/>
                <w:color w:val="365F91"/>
                <w:sz w:val="16"/>
                <w:szCs w:val="16"/>
                <w:lang w:eastAsia="en-IE"/>
              </w:rPr>
              <w:t xml:space="preserve"> beach for information.</w:t>
            </w:r>
            <w:r w:rsidRPr="00F96554">
              <w:rPr>
                <w:rFonts w:ascii="Calibri" w:eastAsia="Times New Roman" w:hAnsi="Calibri" w:cs="Times New Roman"/>
                <w:bCs/>
                <w:color w:val="365F91"/>
                <w:sz w:val="16"/>
                <w:szCs w:val="16"/>
                <w:lang w:eastAsia="en-IE"/>
              </w:rPr>
              <w:br/>
              <w:t>3. Environment personnel attended the 2 days of the Cork Summer Show on 18th &amp; 19th June 2016 to provide an information stand on;</w:t>
            </w:r>
            <w:r w:rsidRPr="00F96554">
              <w:rPr>
                <w:rFonts w:ascii="Calibri" w:eastAsia="Times New Roman" w:hAnsi="Calibri" w:cs="Times New Roman"/>
                <w:bCs/>
                <w:color w:val="365F91"/>
                <w:sz w:val="16"/>
                <w:szCs w:val="16"/>
                <w:lang w:eastAsia="en-IE"/>
              </w:rPr>
              <w:br/>
              <w:t xml:space="preserve">Safe Pesticide Use, </w:t>
            </w:r>
            <w:r w:rsidRPr="00F96554">
              <w:rPr>
                <w:rFonts w:ascii="Calibri" w:eastAsia="Times New Roman" w:hAnsi="Calibri" w:cs="Times New Roman"/>
                <w:bCs/>
                <w:color w:val="365F91"/>
                <w:sz w:val="16"/>
                <w:szCs w:val="16"/>
                <w:lang w:eastAsia="en-IE"/>
              </w:rPr>
              <w:br/>
              <w:t xml:space="preserve">Management of Septic Tanks, &amp; </w:t>
            </w:r>
            <w:r w:rsidRPr="00F96554">
              <w:rPr>
                <w:rFonts w:ascii="Calibri" w:eastAsia="Times New Roman" w:hAnsi="Calibri" w:cs="Times New Roman"/>
                <w:bCs/>
                <w:color w:val="365F91"/>
                <w:sz w:val="16"/>
                <w:szCs w:val="16"/>
                <w:lang w:eastAsia="en-IE"/>
              </w:rPr>
              <w:br/>
              <w:t xml:space="preserve">Care of Private Water Supplies.  </w:t>
            </w:r>
            <w:r w:rsidRPr="00F96554">
              <w:rPr>
                <w:rFonts w:ascii="Calibri" w:eastAsia="Times New Roman" w:hAnsi="Calibri" w:cs="Times New Roman"/>
                <w:bCs/>
                <w:color w:val="365F91"/>
                <w:sz w:val="16"/>
                <w:szCs w:val="16"/>
                <w:lang w:eastAsia="en-IE"/>
              </w:rPr>
              <w:br/>
              <w:t>Please find attached a summary of the work carried out at this event.</w:t>
            </w:r>
          </w:p>
        </w:tc>
      </w:tr>
      <w:tr w:rsidR="001F071C" w:rsidRPr="00F96554" w:rsidTr="00D16020">
        <w:trPr>
          <w:trHeight w:val="18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Donegal</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810"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1093"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000000" w:fill="FFFFFF"/>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Fingal </w:t>
            </w:r>
          </w:p>
        </w:tc>
        <w:tc>
          <w:tcPr>
            <w:tcW w:w="1079" w:type="dxa"/>
            <w:gridSpan w:val="2"/>
            <w:tcBorders>
              <w:top w:val="nil"/>
              <w:left w:val="nil"/>
              <w:bottom w:val="nil"/>
              <w:right w:val="nil"/>
            </w:tcBorders>
            <w:shd w:val="clear" w:color="000000" w:fill="FFFFFF"/>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94" w:type="dxa"/>
            <w:gridSpan w:val="2"/>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FFFFFF"/>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nil"/>
              <w:right w:val="nil"/>
            </w:tcBorders>
            <w:shd w:val="clear" w:color="000000" w:fill="FFFFFF"/>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nil"/>
              <w:right w:val="nil"/>
            </w:tcBorders>
            <w:shd w:val="clear" w:color="000000" w:fill="FFFFFF"/>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FFFFFF"/>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nil"/>
              <w:right w:val="nil"/>
            </w:tcBorders>
            <w:shd w:val="clear" w:color="000000" w:fill="FFFFFF"/>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FFFFFF"/>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nil"/>
              <w:right w:val="nil"/>
            </w:tcBorders>
            <w:shd w:val="clear" w:color="000000" w:fill="FFFFFF"/>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283"/>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Dun Laoghaire- </w:t>
            </w:r>
            <w:proofErr w:type="spellStart"/>
            <w:r w:rsidRPr="00F96554">
              <w:rPr>
                <w:rFonts w:ascii="Calibri" w:eastAsia="Times New Roman" w:hAnsi="Calibri" w:cs="Times New Roman"/>
                <w:bCs/>
                <w:color w:val="365F91"/>
                <w:sz w:val="16"/>
                <w:szCs w:val="16"/>
                <w:lang w:eastAsia="en-IE"/>
              </w:rPr>
              <w:t>Rathdown</w:t>
            </w:r>
            <w:proofErr w:type="spellEnd"/>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South Dublin</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r>
      <w:tr w:rsidR="001F071C" w:rsidRPr="00F96554" w:rsidTr="00D16020">
        <w:trPr>
          <w:trHeight w:val="567"/>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Galway</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1. Leaflets distributed in all Libraries in the County and area offices; 2. Information on website, </w:t>
            </w:r>
            <w:proofErr w:type="gramStart"/>
            <w:r w:rsidRPr="00F96554">
              <w:rPr>
                <w:rFonts w:ascii="Calibri" w:eastAsia="Times New Roman" w:hAnsi="Calibri" w:cs="Times New Roman"/>
                <w:bCs/>
                <w:color w:val="365F91"/>
                <w:sz w:val="16"/>
                <w:szCs w:val="16"/>
                <w:lang w:eastAsia="en-IE"/>
              </w:rPr>
              <w:t>Included</w:t>
            </w:r>
            <w:proofErr w:type="gramEnd"/>
            <w:r w:rsidRPr="00F96554">
              <w:rPr>
                <w:rFonts w:ascii="Calibri" w:eastAsia="Times New Roman" w:hAnsi="Calibri" w:cs="Times New Roman"/>
                <w:bCs/>
                <w:color w:val="365F91"/>
                <w:sz w:val="16"/>
                <w:szCs w:val="16"/>
                <w:lang w:eastAsia="en-IE"/>
              </w:rPr>
              <w:t xml:space="preserve"> under catchment </w:t>
            </w:r>
            <w:proofErr w:type="spellStart"/>
            <w:r w:rsidRPr="00F96554">
              <w:rPr>
                <w:rFonts w:ascii="Calibri" w:eastAsia="Times New Roman" w:hAnsi="Calibri" w:cs="Times New Roman"/>
                <w:bCs/>
                <w:color w:val="365F91"/>
                <w:sz w:val="16"/>
                <w:szCs w:val="16"/>
                <w:lang w:eastAsia="en-IE"/>
              </w:rPr>
              <w:t>mamanement</w:t>
            </w:r>
            <w:proofErr w:type="spellEnd"/>
            <w:r w:rsidRPr="00F96554">
              <w:rPr>
                <w:rFonts w:ascii="Calibri" w:eastAsia="Times New Roman" w:hAnsi="Calibri" w:cs="Times New Roman"/>
                <w:bCs/>
                <w:color w:val="365F91"/>
                <w:sz w:val="16"/>
                <w:szCs w:val="16"/>
                <w:lang w:eastAsia="en-IE"/>
              </w:rPr>
              <w:t xml:space="preserve"> and Environment section on website; 3. all inspected households received letter; 4. all inspected households received info packs; 5. all inspected households received pre-inspection visit</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Galway City</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r>
      <w:tr w:rsidR="001F071C" w:rsidRPr="00F96554" w:rsidTr="00D16020">
        <w:trPr>
          <w:trHeight w:val="567"/>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Kerry</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1. Staff of Kerry County Council's Environment Department have been available to deal with queries from members of the public in relation to on-site wastewater treatment systems and issues.  Over the course of 2016, staff dealt directly with </w:t>
            </w:r>
            <w:proofErr w:type="gramStart"/>
            <w:r w:rsidRPr="00F96554">
              <w:rPr>
                <w:rFonts w:ascii="Calibri" w:eastAsia="Times New Roman" w:hAnsi="Calibri" w:cs="Times New Roman"/>
                <w:bCs/>
                <w:color w:val="365F91"/>
                <w:sz w:val="16"/>
                <w:szCs w:val="16"/>
                <w:lang w:eastAsia="en-IE"/>
              </w:rPr>
              <w:t>a large number of</w:t>
            </w:r>
            <w:proofErr w:type="gramEnd"/>
            <w:r w:rsidRPr="00F96554">
              <w:rPr>
                <w:rFonts w:ascii="Calibri" w:eastAsia="Times New Roman" w:hAnsi="Calibri" w:cs="Times New Roman"/>
                <w:bCs/>
                <w:color w:val="365F91"/>
                <w:sz w:val="16"/>
                <w:szCs w:val="16"/>
                <w:lang w:eastAsia="en-IE"/>
              </w:rPr>
              <w:t xml:space="preserve"> queries received from members of the public by telephone, email and directly at our public counter.</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Kildare</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r>
      <w:tr w:rsidR="001F071C" w:rsidRPr="00F96554" w:rsidTr="00D16020">
        <w:trPr>
          <w:trHeight w:val="18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Kilkenny</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Laois</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r>
      <w:tr w:rsidR="001F071C" w:rsidRPr="00F96554" w:rsidTr="00D16020">
        <w:trPr>
          <w:trHeight w:val="70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Leitrim</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When in an area we make as many people aware of why we are there (not just the homeowner under inspection), we explain what is involved in the inspection and hand out brochures/leaflets. We find this gets a good reaction and improves </w:t>
            </w:r>
            <w:proofErr w:type="spellStart"/>
            <w:proofErr w:type="gramStart"/>
            <w:r w:rsidRPr="00F96554">
              <w:rPr>
                <w:rFonts w:ascii="Calibri" w:eastAsia="Times New Roman" w:hAnsi="Calibri" w:cs="Times New Roman"/>
                <w:bCs/>
                <w:color w:val="365F91"/>
                <w:sz w:val="16"/>
                <w:szCs w:val="16"/>
                <w:lang w:eastAsia="en-IE"/>
              </w:rPr>
              <w:t>awareness.Door</w:t>
            </w:r>
            <w:proofErr w:type="spellEnd"/>
            <w:proofErr w:type="gramEnd"/>
            <w:r w:rsidRPr="00F96554">
              <w:rPr>
                <w:rFonts w:ascii="Calibri" w:eastAsia="Times New Roman" w:hAnsi="Calibri" w:cs="Times New Roman"/>
                <w:bCs/>
                <w:color w:val="365F91"/>
                <w:sz w:val="16"/>
                <w:szCs w:val="16"/>
                <w:lang w:eastAsia="en-IE"/>
              </w:rPr>
              <w:t xml:space="preserve"> to Door familiarity and discussion leading to awareness</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Limerick</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r>
      <w:tr w:rsidR="001F071C" w:rsidRPr="00F96554" w:rsidTr="00D16020">
        <w:trPr>
          <w:trHeight w:val="18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Longford</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810"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93"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Louth</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r>
      <w:tr w:rsidR="001F071C" w:rsidRPr="00F96554" w:rsidTr="00D16020">
        <w:trPr>
          <w:trHeight w:val="18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Mayo</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Meath</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r>
      <w:tr w:rsidR="001F071C" w:rsidRPr="00F96554" w:rsidTr="00D16020">
        <w:trPr>
          <w:trHeight w:val="189"/>
        </w:trPr>
        <w:tc>
          <w:tcPr>
            <w:tcW w:w="1042" w:type="dxa"/>
            <w:tcBorders>
              <w:top w:val="nil"/>
              <w:left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Monaghan</w:t>
            </w:r>
          </w:p>
        </w:tc>
        <w:tc>
          <w:tcPr>
            <w:tcW w:w="1079" w:type="dxa"/>
            <w:gridSpan w:val="2"/>
            <w:tcBorders>
              <w:top w:val="nil"/>
              <w:left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49" w:type="dxa"/>
            <w:gridSpan w:val="2"/>
            <w:tcBorders>
              <w:top w:val="nil"/>
              <w:left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790" w:type="dxa"/>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79"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57"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302"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118"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28"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49"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49"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790"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09"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5520"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r>
      <w:tr w:rsidR="001F071C" w:rsidRPr="00F96554" w:rsidTr="00D16020">
        <w:trPr>
          <w:trHeight w:val="189"/>
        </w:trPr>
        <w:tc>
          <w:tcPr>
            <w:tcW w:w="1042"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79" w:type="dxa"/>
            <w:gridSpan w:val="2"/>
            <w:tcBorders>
              <w:top w:val="nil"/>
              <w:left w:val="nil"/>
              <w:bottom w:val="nil"/>
              <w:right w:val="nil"/>
            </w:tcBorders>
            <w:shd w:val="clear" w:color="000000" w:fill="FFFFFF" w:themeFill="background1"/>
            <w:vAlign w:val="center"/>
          </w:tcPr>
          <w:p w:rsidR="001F071C" w:rsidRDefault="001F071C" w:rsidP="00D16020">
            <w:pPr>
              <w:spacing w:before="0" w:line="240" w:lineRule="auto"/>
              <w:jc w:val="center"/>
              <w:rPr>
                <w:rFonts w:ascii="Calibri" w:eastAsia="Times New Roman" w:hAnsi="Calibri" w:cs="Times New Roman"/>
                <w:bCs/>
                <w:color w:val="365F91"/>
                <w:sz w:val="16"/>
                <w:szCs w:val="16"/>
                <w:lang w:eastAsia="en-IE"/>
              </w:rPr>
            </w:pPr>
          </w:p>
          <w:p w:rsidR="001F071C" w:rsidRDefault="001F071C" w:rsidP="00D16020">
            <w:pPr>
              <w:spacing w:before="0" w:line="240" w:lineRule="auto"/>
              <w:jc w:val="center"/>
              <w:rPr>
                <w:rFonts w:ascii="Calibri" w:eastAsia="Times New Roman" w:hAnsi="Calibri" w:cs="Times New Roman"/>
                <w:bCs/>
                <w:color w:val="365F91"/>
                <w:sz w:val="16"/>
                <w:szCs w:val="16"/>
                <w:lang w:eastAsia="en-IE"/>
              </w:rPr>
            </w:pPr>
          </w:p>
          <w:p w:rsidR="001F071C" w:rsidRDefault="001F071C" w:rsidP="00D16020">
            <w:pPr>
              <w:spacing w:before="0" w:line="240" w:lineRule="auto"/>
              <w:jc w:val="center"/>
              <w:rPr>
                <w:rFonts w:ascii="Calibri" w:eastAsia="Times New Roman" w:hAnsi="Calibri" w:cs="Times New Roman"/>
                <w:bCs/>
                <w:color w:val="365F91"/>
                <w:sz w:val="16"/>
                <w:szCs w:val="16"/>
                <w:lang w:eastAsia="en-IE"/>
              </w:rPr>
            </w:pPr>
          </w:p>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57"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302"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118"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28"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49" w:type="dxa"/>
            <w:gridSpan w:val="2"/>
            <w:tcBorders>
              <w:top w:val="nil"/>
              <w:left w:val="nil"/>
              <w:bottom w:val="nil"/>
              <w:right w:val="nil"/>
            </w:tcBorders>
            <w:shd w:val="clear" w:color="000000" w:fill="FFFFFF" w:themeFill="background1"/>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49"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790"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909"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5520" w:type="dxa"/>
            <w:tcBorders>
              <w:top w:val="nil"/>
              <w:left w:val="nil"/>
              <w:bottom w:val="nil"/>
              <w:right w:val="nil"/>
            </w:tcBorders>
            <w:shd w:val="clear" w:color="000000" w:fill="FFFFFF" w:themeFill="background1"/>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r>
      <w:tr w:rsidR="001F071C" w:rsidRPr="00F96554" w:rsidTr="00D16020">
        <w:trPr>
          <w:trHeight w:val="567"/>
        </w:trPr>
        <w:tc>
          <w:tcPr>
            <w:tcW w:w="1513"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lastRenderedPageBreak/>
              <w:t>Local Authority</w:t>
            </w:r>
          </w:p>
        </w:tc>
        <w:tc>
          <w:tcPr>
            <w:tcW w:w="1210"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proofErr w:type="spellStart"/>
            <w:r w:rsidRPr="00F96554">
              <w:rPr>
                <w:rFonts w:ascii="Calibri" w:eastAsia="Times New Roman" w:hAnsi="Calibri" w:cs="Times New Roman"/>
                <w:bCs/>
                <w:color w:val="FFFFFF"/>
                <w:sz w:val="16"/>
                <w:szCs w:val="16"/>
                <w:lang w:eastAsia="en-IE"/>
              </w:rPr>
              <w:t>Respondants</w:t>
            </w:r>
            <w:proofErr w:type="spellEnd"/>
            <w:r w:rsidRPr="00F96554">
              <w:rPr>
                <w:rFonts w:ascii="Calibri" w:eastAsia="Times New Roman" w:hAnsi="Calibri" w:cs="Times New Roman"/>
                <w:bCs/>
                <w:color w:val="FFFFFF"/>
                <w:sz w:val="16"/>
                <w:szCs w:val="16"/>
                <w:lang w:eastAsia="en-IE"/>
              </w:rPr>
              <w:t xml:space="preserve"> </w:t>
            </w:r>
          </w:p>
        </w:tc>
        <w:tc>
          <w:tcPr>
            <w:tcW w:w="974"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Article in Newspaper /other publication</w:t>
            </w:r>
          </w:p>
        </w:tc>
        <w:tc>
          <w:tcPr>
            <w:tcW w:w="1204"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Newspaper Advertisement</w:t>
            </w:r>
          </w:p>
        </w:tc>
        <w:tc>
          <w:tcPr>
            <w:tcW w:w="849"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Radio interview</w:t>
            </w:r>
          </w:p>
        </w:tc>
        <w:tc>
          <w:tcPr>
            <w:tcW w:w="1204"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Radio Advertisement</w:t>
            </w:r>
          </w:p>
        </w:tc>
        <w:tc>
          <w:tcPr>
            <w:tcW w:w="1018"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Stakeholder Meeting</w:t>
            </w:r>
          </w:p>
        </w:tc>
        <w:tc>
          <w:tcPr>
            <w:tcW w:w="809"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School Visit</w:t>
            </w:r>
          </w:p>
        </w:tc>
        <w:tc>
          <w:tcPr>
            <w:tcW w:w="1010"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Leaflet Distribution</w:t>
            </w:r>
          </w:p>
        </w:tc>
        <w:tc>
          <w:tcPr>
            <w:tcW w:w="791"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Social media</w:t>
            </w:r>
          </w:p>
        </w:tc>
        <w:tc>
          <w:tcPr>
            <w:tcW w:w="854" w:type="dxa"/>
            <w:gridSpan w:val="2"/>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Local Authority website</w:t>
            </w:r>
          </w:p>
        </w:tc>
        <w:tc>
          <w:tcPr>
            <w:tcW w:w="1083"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Email/letters to registered owners</w:t>
            </w:r>
          </w:p>
        </w:tc>
        <w:tc>
          <w:tcPr>
            <w:tcW w:w="790"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Info Packs</w:t>
            </w:r>
          </w:p>
        </w:tc>
        <w:tc>
          <w:tcPr>
            <w:tcW w:w="909"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Pre-Inspection Visit</w:t>
            </w:r>
          </w:p>
        </w:tc>
        <w:tc>
          <w:tcPr>
            <w:tcW w:w="5520" w:type="dxa"/>
            <w:tcBorders>
              <w:top w:val="nil"/>
              <w:left w:val="nil"/>
              <w:bottom w:val="nil"/>
              <w:right w:val="nil"/>
            </w:tcBorders>
            <w:shd w:val="clear" w:color="000000" w:fill="8DB3E2"/>
            <w:vAlign w:val="center"/>
            <w:hideMark/>
          </w:tcPr>
          <w:p w:rsidR="001F071C" w:rsidRPr="00F96554" w:rsidRDefault="001F071C" w:rsidP="00D16020">
            <w:pPr>
              <w:spacing w:before="0" w:line="240" w:lineRule="auto"/>
              <w:rPr>
                <w:rFonts w:ascii="Calibri" w:eastAsia="Times New Roman" w:hAnsi="Calibri" w:cs="Times New Roman"/>
                <w:bCs/>
                <w:color w:val="FFFFFF"/>
                <w:sz w:val="16"/>
                <w:szCs w:val="16"/>
                <w:lang w:eastAsia="en-IE"/>
              </w:rPr>
            </w:pPr>
            <w:r w:rsidRPr="00F96554">
              <w:rPr>
                <w:rFonts w:ascii="Calibri" w:eastAsia="Times New Roman" w:hAnsi="Calibri" w:cs="Times New Roman"/>
                <w:bCs/>
                <w:color w:val="FFFFFF"/>
                <w:sz w:val="16"/>
                <w:szCs w:val="16"/>
                <w:lang w:eastAsia="en-IE"/>
              </w:rPr>
              <w:t>Best Practice examples</w:t>
            </w:r>
          </w:p>
        </w:tc>
      </w:tr>
      <w:tr w:rsidR="001F071C" w:rsidRPr="00F96554" w:rsidTr="00D16020">
        <w:trPr>
          <w:trHeight w:val="189"/>
        </w:trPr>
        <w:tc>
          <w:tcPr>
            <w:tcW w:w="1042" w:type="dxa"/>
            <w:tcBorders>
              <w:top w:val="nil"/>
              <w:left w:val="nil"/>
              <w:bottom w:val="nil"/>
              <w:right w:val="nil"/>
            </w:tcBorders>
            <w:shd w:val="clear" w:color="auto" w:fill="auto"/>
            <w:vAlign w:val="center"/>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1079" w:type="dxa"/>
            <w:gridSpan w:val="2"/>
            <w:tcBorders>
              <w:top w:val="nil"/>
              <w:left w:val="nil"/>
              <w:bottom w:val="nil"/>
              <w:right w:val="nil"/>
            </w:tcBorders>
            <w:shd w:val="clear" w:color="auto" w:fill="auto"/>
            <w:vAlign w:val="center"/>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302" w:type="dxa"/>
            <w:gridSpan w:val="2"/>
            <w:tcBorders>
              <w:top w:val="nil"/>
              <w:left w:val="nil"/>
              <w:bottom w:val="nil"/>
              <w:right w:val="nil"/>
            </w:tcBorders>
            <w:shd w:val="clear" w:color="auto" w:fill="auto"/>
            <w:noWrap/>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828" w:type="dxa"/>
            <w:gridSpan w:val="2"/>
            <w:tcBorders>
              <w:top w:val="nil"/>
              <w:left w:val="nil"/>
              <w:bottom w:val="nil"/>
              <w:right w:val="nil"/>
            </w:tcBorders>
            <w:shd w:val="clear" w:color="auto" w:fill="auto"/>
            <w:noWrap/>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49" w:type="dxa"/>
            <w:gridSpan w:val="2"/>
            <w:tcBorders>
              <w:top w:val="nil"/>
              <w:left w:val="nil"/>
              <w:bottom w:val="nil"/>
              <w:right w:val="nil"/>
            </w:tcBorders>
            <w:shd w:val="clear" w:color="auto" w:fill="auto"/>
            <w:noWrap/>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810" w:type="dxa"/>
            <w:gridSpan w:val="2"/>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49" w:type="dxa"/>
            <w:gridSpan w:val="2"/>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093" w:type="dxa"/>
            <w:gridSpan w:val="2"/>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790" w:type="dxa"/>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09" w:type="dxa"/>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5520" w:type="dxa"/>
            <w:tcBorders>
              <w:top w:val="nil"/>
              <w:left w:val="nil"/>
              <w:bottom w:val="nil"/>
              <w:right w:val="nil"/>
            </w:tcBorders>
            <w:shd w:val="clear" w:color="auto" w:fill="auto"/>
            <w:vAlign w:val="center"/>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Offaly</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29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57"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p>
        </w:tc>
        <w:tc>
          <w:tcPr>
            <w:tcW w:w="1302"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11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828"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1049" w:type="dxa"/>
            <w:gridSpan w:val="2"/>
            <w:tcBorders>
              <w:top w:val="nil"/>
              <w:left w:val="nil"/>
              <w:bottom w:val="nil"/>
              <w:right w:val="nil"/>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4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Yes </w:t>
            </w:r>
          </w:p>
        </w:tc>
        <w:tc>
          <w:tcPr>
            <w:tcW w:w="1093"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79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909"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r>
      <w:tr w:rsidR="001F071C" w:rsidRPr="00F96554" w:rsidTr="00D16020">
        <w:trPr>
          <w:trHeight w:val="189"/>
        </w:trPr>
        <w:tc>
          <w:tcPr>
            <w:tcW w:w="1042"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Roscommon</w:t>
            </w:r>
          </w:p>
        </w:tc>
        <w:tc>
          <w:tcPr>
            <w:tcW w:w="107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49" w:type="dxa"/>
            <w:gridSpan w:val="2"/>
            <w:tcBorders>
              <w:top w:val="nil"/>
              <w:left w:val="nil"/>
              <w:bottom w:val="nil"/>
              <w:right w:val="nil"/>
            </w:tcBorders>
            <w:shd w:val="clear" w:color="000000" w:fill="D3DFEE"/>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49"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79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09"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5520" w:type="dxa"/>
            <w:tcBorders>
              <w:top w:val="nil"/>
              <w:left w:val="nil"/>
              <w:bottom w:val="nil"/>
              <w:right w:val="nil"/>
            </w:tcBorders>
            <w:shd w:val="clear" w:color="000000" w:fill="D3DFEE"/>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Sligo</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single" w:sz="4" w:space="0" w:color="DCE6F1"/>
              <w:left w:val="single" w:sz="4" w:space="0" w:color="DCE6F1"/>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single" w:sz="4" w:space="0" w:color="DCE6F1"/>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single" w:sz="4" w:space="0" w:color="DCE6F1"/>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single" w:sz="4" w:space="0" w:color="DCE6F1"/>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single" w:sz="4" w:space="0" w:color="DCE6F1"/>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single" w:sz="4" w:space="0" w:color="DCE6F1"/>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single" w:sz="4" w:space="0" w:color="DCE6F1"/>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single" w:sz="4" w:space="0" w:color="DCE6F1"/>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single" w:sz="4" w:space="0" w:color="DCE6F1"/>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single" w:sz="4" w:space="0" w:color="DCE6F1"/>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single" w:sz="4" w:space="0" w:color="DCE6F1"/>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single" w:sz="4" w:space="0" w:color="DCE6F1"/>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single" w:sz="4" w:space="0" w:color="DCE6F1"/>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000000" w:fill="DCE6F1"/>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xml:space="preserve">Tipperary </w:t>
            </w:r>
          </w:p>
        </w:tc>
        <w:tc>
          <w:tcPr>
            <w:tcW w:w="1079" w:type="dxa"/>
            <w:gridSpan w:val="2"/>
            <w:tcBorders>
              <w:top w:val="nil"/>
              <w:left w:val="nil"/>
              <w:bottom w:val="nil"/>
              <w:right w:val="nil"/>
            </w:tcBorders>
            <w:shd w:val="clear" w:color="000000" w:fill="DCE6F1"/>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94" w:type="dxa"/>
            <w:gridSpan w:val="2"/>
            <w:tcBorders>
              <w:top w:val="nil"/>
              <w:left w:val="single" w:sz="4" w:space="0" w:color="DCE6F1"/>
              <w:bottom w:val="nil"/>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82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49"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810"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949"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Yes</w:t>
            </w:r>
          </w:p>
        </w:tc>
        <w:tc>
          <w:tcPr>
            <w:tcW w:w="1093"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p>
        </w:tc>
        <w:tc>
          <w:tcPr>
            <w:tcW w:w="909"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Yes</w:t>
            </w:r>
          </w:p>
        </w:tc>
        <w:tc>
          <w:tcPr>
            <w:tcW w:w="5520"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Waterford</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single" w:sz="4" w:space="0" w:color="DCE6F1"/>
              <w:left w:val="single" w:sz="4" w:space="0" w:color="DCE6F1"/>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49" w:type="dxa"/>
            <w:gridSpan w:val="2"/>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790" w:type="dxa"/>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09" w:type="dxa"/>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5520" w:type="dxa"/>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000000" w:fill="DCE6F1"/>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Westmeath</w:t>
            </w:r>
          </w:p>
        </w:tc>
        <w:tc>
          <w:tcPr>
            <w:tcW w:w="1079" w:type="dxa"/>
            <w:gridSpan w:val="2"/>
            <w:tcBorders>
              <w:top w:val="nil"/>
              <w:left w:val="nil"/>
              <w:bottom w:val="nil"/>
              <w:right w:val="nil"/>
            </w:tcBorders>
            <w:shd w:val="clear" w:color="000000" w:fill="DCE6F1"/>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94" w:type="dxa"/>
            <w:gridSpan w:val="2"/>
            <w:tcBorders>
              <w:top w:val="nil"/>
              <w:left w:val="single" w:sz="4" w:space="0" w:color="DCE6F1"/>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49"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Wexford</w:t>
            </w:r>
          </w:p>
        </w:tc>
        <w:tc>
          <w:tcPr>
            <w:tcW w:w="1079" w:type="dxa"/>
            <w:gridSpan w:val="2"/>
            <w:tcBorders>
              <w:top w:val="nil"/>
              <w:left w:val="nil"/>
              <w:bottom w:val="nil"/>
              <w:right w:val="nil"/>
            </w:tcBorders>
            <w:shd w:val="clear" w:color="auto" w:fill="auto"/>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p>
        </w:tc>
        <w:tc>
          <w:tcPr>
            <w:tcW w:w="994" w:type="dxa"/>
            <w:gridSpan w:val="2"/>
            <w:tcBorders>
              <w:top w:val="nil"/>
              <w:left w:val="single" w:sz="4" w:space="0" w:color="DCE6F1"/>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57"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302"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28"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49" w:type="dxa"/>
            <w:gridSpan w:val="2"/>
            <w:tcBorders>
              <w:top w:val="nil"/>
              <w:left w:val="nil"/>
              <w:bottom w:val="single" w:sz="4" w:space="0" w:color="DCE6F1"/>
              <w:right w:val="single" w:sz="4" w:space="0" w:color="DCE6F1"/>
            </w:tcBorders>
            <w:shd w:val="clear" w:color="auto" w:fill="auto"/>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49" w:type="dxa"/>
            <w:gridSpan w:val="2"/>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790" w:type="dxa"/>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09" w:type="dxa"/>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5520" w:type="dxa"/>
            <w:tcBorders>
              <w:top w:val="nil"/>
              <w:left w:val="nil"/>
              <w:bottom w:val="single" w:sz="4" w:space="0" w:color="DCE6F1"/>
              <w:right w:val="single" w:sz="4" w:space="0" w:color="DCE6F1"/>
            </w:tcBorders>
            <w:shd w:val="clear" w:color="auto" w:fill="auto"/>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r>
      <w:tr w:rsidR="001F071C" w:rsidRPr="00F96554" w:rsidTr="00D16020">
        <w:trPr>
          <w:trHeight w:val="189"/>
        </w:trPr>
        <w:tc>
          <w:tcPr>
            <w:tcW w:w="1042"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Wicklow</w:t>
            </w:r>
          </w:p>
        </w:tc>
        <w:tc>
          <w:tcPr>
            <w:tcW w:w="1079"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94"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29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57"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302"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11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828"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1049" w:type="dxa"/>
            <w:gridSpan w:val="2"/>
            <w:tcBorders>
              <w:top w:val="nil"/>
              <w:left w:val="nil"/>
              <w:bottom w:val="single" w:sz="4" w:space="0" w:color="DCE6F1"/>
              <w:right w:val="single" w:sz="4" w:space="0" w:color="DCE6F1"/>
            </w:tcBorders>
            <w:shd w:val="clear" w:color="000000" w:fill="DCE6F1"/>
            <w:noWrap/>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810"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color w:val="365F91"/>
                <w:sz w:val="16"/>
                <w:szCs w:val="16"/>
                <w:lang w:eastAsia="en-IE"/>
              </w:rPr>
            </w:pPr>
            <w:r w:rsidRPr="00F96554">
              <w:rPr>
                <w:rFonts w:ascii="Calibri" w:eastAsia="Times New Roman" w:hAnsi="Calibri" w:cs="Times New Roman"/>
                <w:color w:val="365F91"/>
                <w:sz w:val="16"/>
                <w:szCs w:val="16"/>
                <w:lang w:eastAsia="en-IE"/>
              </w:rPr>
              <w:t> </w:t>
            </w:r>
          </w:p>
        </w:tc>
        <w:tc>
          <w:tcPr>
            <w:tcW w:w="949"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1093" w:type="dxa"/>
            <w:gridSpan w:val="2"/>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790"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909"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c>
          <w:tcPr>
            <w:tcW w:w="5520" w:type="dxa"/>
            <w:tcBorders>
              <w:top w:val="nil"/>
              <w:left w:val="nil"/>
              <w:bottom w:val="single" w:sz="4" w:space="0" w:color="DCE6F1"/>
              <w:right w:val="single" w:sz="4" w:space="0" w:color="DCE6F1"/>
            </w:tcBorders>
            <w:shd w:val="clear" w:color="000000" w:fill="DCE6F1"/>
            <w:vAlign w:val="center"/>
            <w:hideMark/>
          </w:tcPr>
          <w:p w:rsidR="001F071C" w:rsidRPr="00F96554" w:rsidRDefault="001F071C" w:rsidP="00D16020">
            <w:pPr>
              <w:spacing w:before="0" w:line="240" w:lineRule="auto"/>
              <w:jc w:val="center"/>
              <w:rPr>
                <w:rFonts w:ascii="Calibri" w:eastAsia="Times New Roman" w:hAnsi="Calibri" w:cs="Times New Roman"/>
                <w:bCs/>
                <w:color w:val="365F91"/>
                <w:sz w:val="16"/>
                <w:szCs w:val="16"/>
                <w:lang w:eastAsia="en-IE"/>
              </w:rPr>
            </w:pPr>
            <w:r w:rsidRPr="00F96554">
              <w:rPr>
                <w:rFonts w:ascii="Calibri" w:eastAsia="Times New Roman" w:hAnsi="Calibri" w:cs="Times New Roman"/>
                <w:bCs/>
                <w:color w:val="365F91"/>
                <w:sz w:val="16"/>
                <w:szCs w:val="16"/>
                <w:lang w:eastAsia="en-IE"/>
              </w:rPr>
              <w:t> </w:t>
            </w:r>
          </w:p>
        </w:tc>
      </w:tr>
    </w:tbl>
    <w:p w:rsidR="002C736F" w:rsidRDefault="002C736F">
      <w:bookmarkStart w:id="0" w:name="_GoBack"/>
      <w:bookmarkEnd w:id="0"/>
    </w:p>
    <w:sectPr w:rsidR="002C736F" w:rsidSect="001F071C">
      <w:pgSz w:w="23811" w:h="16838" w:orient="landscape"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Light"/>
    <w:panose1 w:val="020F0502020204030204"/>
    <w:charset w:val="00"/>
    <w:family w:val="swiss"/>
    <w:pitch w:val="variable"/>
    <w:sig w:usb0="00000001"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1C"/>
    <w:rsid w:val="001F071C"/>
    <w:rsid w:val="002C73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F79C5-149B-484B-A34D-0C122CC5E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F071C"/>
    <w:pPr>
      <w:spacing w:before="200"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695</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Dunne</dc:creator>
  <cp:keywords/>
  <dc:description/>
  <cp:lastModifiedBy>Niall Dunne</cp:lastModifiedBy>
  <cp:revision>1</cp:revision>
  <dcterms:created xsi:type="dcterms:W3CDTF">2017-10-03T15:52:00Z</dcterms:created>
  <dcterms:modified xsi:type="dcterms:W3CDTF">2017-10-03T15:55:00Z</dcterms:modified>
</cp:coreProperties>
</file>